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Возврат ранее утраченных адаптационных реакций: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Адаптация    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реадаптация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деадаптация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Функциональные резервы организма условно делятся на: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нейрогуморальные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психологические  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социальные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биологические  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Какой тип адаптации характеризуется тем, что при физических нагрузках анаэробный гликолиз вовлекается незначительно, а работа осуществляется преимущественно за счет аэробного обеспечения?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Смешанный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Стайерский 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Спринтерский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Свойство организма быть подверженным утомлению: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утомленность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утомляемость    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утомительность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Зоны, связанные с применением больших физических нагрузок и с отсутствием на них адаптационного ответа, что проявляется в остановке прироста спортивных результатов: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реадаптационные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деадаптационные    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инадаптационные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Какие функции организма первыми включаются в реакции?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Кровообращение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ЦНС  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Дыхание  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lastRenderedPageBreak/>
        <w:t>Материальными носителями физиологических резервов являются: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скелет человека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оба ответа верны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органы и системы органов   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Особенности строения клеток, тканей, органов, проявляющиеся в развитии и прочности мышечной и костной ткани, в особенностях строения миофибрилл и мышечных волокон, в прочности связочного и подвижности суставного аппарата, в характере сосудистого русла скелетных и сердечных мышцы, в развитии мотонейронных связей и т.д., которые оказывают существенное влияние на функциональные возможности организма: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адаптационные резервы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структурные резервы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функциональные резервы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Механизмы регуляции всегда осуществляются с использованием следующих основных принципов: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по рассогласованию  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по согласованию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по возмущению 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Степень изменения функционального состояния организма под влиянием нагрузки зависит от взаимодействия следующих основных факторов: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длительности нагрузки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уровня развития приспособительных реакций организма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величины нагрузки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все ответы верны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Скелетные мышцы, органы дыхания, кровообращения относятся к: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центрально-регуляторное звено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афферентному звену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эффекторному звену  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В результате исчерпания способности генетического аппарата дифференцированных клеток генерировать новые порции РНК и белка, формируется: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гормональная недостаточность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lastRenderedPageBreak/>
        <w:t>биологическая недостаточность    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функциональная недостаточность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В состав функциональных резервов входят: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имеющиеся резервы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запасные резервы     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расходуемые резервы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Различают следующие типы приспособительно-адаптивного поведения живых организмов, в том числе и человека: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активное противодействие за счет развития специфических адаптивных реакций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пассивное подчинение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бегство от неблагоприятного раздражителя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все ответы верны     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Автор теории истощения: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Дж. Шифф 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И.П. Павлов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М.Ферворн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Возможности проявления памяти, внимания, мышления и др. с мотивацией деятельности, определением тактики поведения - это: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психологические резервы 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социальные резервы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биологические резервы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Резервы блока регуляции гомеостаза определяются: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физиологическими системами и органами (сердце, легкие, печень, почки)   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возможностями и состоянием ЦНС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состоянием рецепторного аппарата, проводящих путей и центральных нервных образований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Резервы, которые относятся по преимуществу к тканевым резервам поддержания гомеостаза (буферные системы и резервная щелочность крови) и энергетика (гликолиз)?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Физиологические резервы, мобилизуемые при работе субмаксимальной мощности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lastRenderedPageBreak/>
        <w:t>Физиологические резервы, мобилизуемые при работе большой мощности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Физиологические резервы, мобилизуемые при работе максимальной мощности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Поскольку подготовка спортсмена является тем процессом, в котором зачастую возникает необходимость временного прекращения использования физических нагрузок, необходимо отметить, что процесс утраты сформировавшихся адаптационных перестроек в организме, т.е. процесс деадаптации протекает в: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определенных границах величины нагрузки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определенных средовых границах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определенных временных границах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Какое утомление характеризуется деэкономизацией работы, существенными изменениями структуры движений, но еще не сопровождающееся снижением работоспособности вследствие использования компенсаторных механизмов?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Переутомление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Скрытое утомление        </w:t>
      </w:r>
    </w:p>
    <w:p w:rsidR="005E5116" w:rsidRDefault="005E5116" w:rsidP="005E5116">
      <w:pPr>
        <w:pStyle w:val="a3"/>
        <w:spacing w:after="195" w:afterAutospacing="0"/>
      </w:pPr>
      <w:r>
        <w:rPr>
          <w:rFonts w:ascii="Calibri" w:hAnsi="Calibri"/>
          <w:sz w:val="22"/>
          <w:szCs w:val="22"/>
        </w:rPr>
        <w:t>Явное утомление</w:t>
      </w:r>
    </w:p>
    <w:p w:rsidR="007E0A7B" w:rsidRDefault="007E0A7B">
      <w:bookmarkStart w:id="0" w:name="_GoBack"/>
      <w:bookmarkEnd w:id="0"/>
    </w:p>
    <w:sectPr w:rsidR="007E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B6"/>
    <w:rsid w:val="005E5116"/>
    <w:rsid w:val="007E0A7B"/>
    <w:rsid w:val="00EA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A4BD7-2140-4EE6-8818-4932DEEB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3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2021-08-25T05:59:00Z</dcterms:created>
  <dcterms:modified xsi:type="dcterms:W3CDTF">2021-08-25T06:00:00Z</dcterms:modified>
</cp:coreProperties>
</file>